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19" w:rsidRPr="004A0119" w:rsidRDefault="00B474F1" w:rsidP="004A0119">
      <w:pPr>
        <w:shd w:val="clear" w:color="auto" w:fill="FFFFFF"/>
        <w:spacing w:after="0" w:line="240" w:lineRule="auto"/>
        <w:outlineLvl w:val="1"/>
        <w:rPr>
          <w:rFonts w:ascii="Arial" w:eastAsia="Times New Roman" w:hAnsi="Arial" w:cs="Arial"/>
          <w:noProof/>
          <w:color w:val="333333"/>
          <w:sz w:val="36"/>
          <w:szCs w:val="36"/>
        </w:rPr>
      </w:pPr>
      <w:hyperlink r:id="rId5" w:history="1">
        <w:r w:rsidR="004A0119" w:rsidRPr="004A0119">
          <w:rPr>
            <w:rFonts w:ascii="Arial" w:eastAsia="Times New Roman" w:hAnsi="Arial" w:cs="Arial"/>
            <w:noProof/>
            <w:color w:val="345E7D"/>
            <w:sz w:val="36"/>
            <w:szCs w:val="36"/>
          </w:rPr>
          <w:t>Whole Blood Basics: How to maintain a stable sample</w:t>
        </w:r>
      </w:hyperlink>
    </w:p>
    <w:p w:rsidR="004A0119" w:rsidRPr="004A0119" w:rsidRDefault="004A0119" w:rsidP="004A0119">
      <w:pPr>
        <w:shd w:val="clear" w:color="auto" w:fill="FFFFFF"/>
        <w:spacing w:after="0" w:line="240" w:lineRule="auto"/>
        <w:outlineLvl w:val="1"/>
        <w:rPr>
          <w:rFonts w:ascii="Arial" w:hAnsi="Arial" w:cs="Arial"/>
          <w:noProof/>
          <w:color w:val="333333"/>
          <w:sz w:val="21"/>
          <w:szCs w:val="21"/>
          <w:shd w:val="clear" w:color="auto" w:fill="FFFFFF"/>
        </w:rPr>
      </w:pPr>
      <w:r w:rsidRPr="004A0119">
        <w:rPr>
          <w:rStyle w:val="hs-author-label"/>
          <w:rFonts w:ascii="Arial" w:hAnsi="Arial" w:cs="Arial"/>
          <w:noProof/>
          <w:color w:val="333333"/>
          <w:sz w:val="21"/>
          <w:szCs w:val="21"/>
          <w:shd w:val="clear" w:color="auto" w:fill="FFFFFF"/>
        </w:rPr>
        <w:t>Posted by</w:t>
      </w:r>
      <w:r w:rsidRPr="004A0119">
        <w:rPr>
          <w:rStyle w:val="apple-converted-space"/>
          <w:rFonts w:ascii="Arial" w:hAnsi="Arial" w:cs="Arial"/>
          <w:noProof/>
          <w:color w:val="333333"/>
          <w:sz w:val="21"/>
          <w:szCs w:val="21"/>
          <w:shd w:val="clear" w:color="auto" w:fill="FFFFFF"/>
        </w:rPr>
        <w:t> </w:t>
      </w:r>
      <w:hyperlink r:id="rId6" w:history="1">
        <w:r w:rsidRPr="004A0119">
          <w:rPr>
            <w:rStyle w:val="Hyperlink"/>
            <w:rFonts w:ascii="Arial" w:hAnsi="Arial" w:cs="Arial"/>
            <w:noProof/>
            <w:color w:val="333333"/>
            <w:sz w:val="21"/>
            <w:szCs w:val="21"/>
            <w:shd w:val="clear" w:color="auto" w:fill="FFFFFF"/>
          </w:rPr>
          <w:t>Abdul Ally</w:t>
        </w:r>
      </w:hyperlink>
      <w:r w:rsidRPr="004A0119">
        <w:rPr>
          <w:rStyle w:val="apple-converted-space"/>
          <w:rFonts w:ascii="Arial" w:hAnsi="Arial" w:cs="Arial"/>
          <w:noProof/>
          <w:color w:val="333333"/>
          <w:sz w:val="21"/>
          <w:szCs w:val="21"/>
          <w:shd w:val="clear" w:color="auto" w:fill="FFFFFF"/>
        </w:rPr>
        <w:t> </w:t>
      </w:r>
      <w:r w:rsidRPr="004A0119">
        <w:rPr>
          <w:rFonts w:ascii="Arial" w:hAnsi="Arial" w:cs="Arial"/>
          <w:noProof/>
          <w:color w:val="333333"/>
          <w:sz w:val="21"/>
          <w:szCs w:val="21"/>
          <w:shd w:val="clear" w:color="auto" w:fill="FFFFFF"/>
        </w:rPr>
        <w:t>on May 7, 2015 11:00:00 AM</w:t>
      </w:r>
    </w:p>
    <w:p w:rsidR="004A0119" w:rsidRPr="004A0119" w:rsidRDefault="004A0119" w:rsidP="004A0119">
      <w:pPr>
        <w:shd w:val="clear" w:color="auto" w:fill="FFFFFF"/>
        <w:spacing w:after="0" w:line="240" w:lineRule="auto"/>
        <w:outlineLvl w:val="1"/>
        <w:rPr>
          <w:rFonts w:ascii="Arial" w:hAnsi="Arial" w:cs="Arial"/>
          <w:noProof/>
          <w:color w:val="333333"/>
          <w:sz w:val="21"/>
          <w:szCs w:val="21"/>
          <w:shd w:val="clear" w:color="auto" w:fill="FFFFFF"/>
        </w:rPr>
      </w:pPr>
    </w:p>
    <w:p w:rsidR="004A0119" w:rsidRPr="004A0119" w:rsidRDefault="004A0119" w:rsidP="004A0119">
      <w:pPr>
        <w:shd w:val="clear" w:color="auto" w:fill="FFFFFF"/>
        <w:spacing w:after="0" w:line="240" w:lineRule="auto"/>
        <w:outlineLvl w:val="1"/>
        <w:rPr>
          <w:rFonts w:ascii="Arial" w:hAnsi="Arial" w:cs="Arial"/>
          <w:noProof/>
          <w:color w:val="333333"/>
          <w:sz w:val="21"/>
          <w:szCs w:val="21"/>
          <w:shd w:val="clear" w:color="auto" w:fill="FFFFFF"/>
        </w:rPr>
      </w:pP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Like any other fluid or tissue sample, whole blood can be most effectively analyzed when its integrity is maintained throughout collection, processing and storage. But how do you maintain the quality of a whole blood sample when considering long term storage? What happens when a sample is not handled properly?</w:t>
      </w:r>
    </w:p>
    <w:p w:rsidR="004A0119" w:rsidRPr="004A0119" w:rsidRDefault="004A0119" w:rsidP="004A0119">
      <w:pPr>
        <w:spacing w:after="0" w:line="240" w:lineRule="auto"/>
        <w:rPr>
          <w:rFonts w:ascii="Times New Roman" w:eastAsia="Times New Roman" w:hAnsi="Times New Roman" w:cs="Times New Roman"/>
          <w:noProof/>
          <w:sz w:val="24"/>
          <w:szCs w:val="24"/>
        </w:rPr>
      </w:pPr>
      <w:r w:rsidRPr="004A0119">
        <w:rPr>
          <w:rFonts w:ascii="Arial" w:eastAsia="Times New Roman" w:hAnsi="Arial" w:cs="Arial"/>
          <w:b/>
          <w:bCs/>
          <w:noProof/>
          <w:color w:val="333333"/>
          <w:sz w:val="24"/>
          <w:szCs w:val="24"/>
        </w:rPr>
        <w:t>Whole Blood Basics</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Whole blood samples are composed of several basic components: red blood cells, white blood cells, platelets and plasma. In addition, whole blood also contains an abundance of small vesicles (exosomes) containing RNA and proteins that serve as intercellular messengers.</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drawing>
          <wp:inline distT="0" distB="0" distL="0" distR="0">
            <wp:extent cx="4524375" cy="2771775"/>
            <wp:effectExtent l="19050" t="0" r="9525" b="0"/>
            <wp:docPr id="1" name="Picture 1" descr="Blood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d_Diagram"/>
                    <pic:cNvPicPr>
                      <a:picLocks noChangeAspect="1" noChangeArrowheads="1"/>
                    </pic:cNvPicPr>
                  </pic:nvPicPr>
                  <pic:blipFill>
                    <a:blip r:embed="rId7"/>
                    <a:srcRect/>
                    <a:stretch>
                      <a:fillRect/>
                    </a:stretch>
                  </pic:blipFill>
                  <pic:spPr bwMode="auto">
                    <a:xfrm>
                      <a:off x="0" y="0"/>
                      <a:ext cx="4524375" cy="2771775"/>
                    </a:xfrm>
                    <a:prstGeom prst="rect">
                      <a:avLst/>
                    </a:prstGeom>
                    <a:noFill/>
                    <a:ln w="9525">
                      <a:noFill/>
                      <a:miter lim="800000"/>
                      <a:headEnd/>
                      <a:tailEnd/>
                    </a:ln>
                  </pic:spPr>
                </pic:pic>
              </a:graphicData>
            </a:graphic>
          </wp:inline>
        </w:drawing>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drawing>
          <wp:inline distT="0" distB="0" distL="0" distR="0">
            <wp:extent cx="5705475" cy="2209800"/>
            <wp:effectExtent l="19050" t="0" r="9525" b="0"/>
            <wp:docPr id="2" name="Picture 2" descr="Blood_Diagram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od_Diagram_2"/>
                    <pic:cNvPicPr>
                      <a:picLocks noChangeAspect="1" noChangeArrowheads="1"/>
                    </pic:cNvPicPr>
                  </pic:nvPicPr>
                  <pic:blipFill>
                    <a:blip r:embed="rId8"/>
                    <a:srcRect/>
                    <a:stretch>
                      <a:fillRect/>
                    </a:stretch>
                  </pic:blipFill>
                  <pic:spPr bwMode="auto">
                    <a:xfrm>
                      <a:off x="0" y="0"/>
                      <a:ext cx="5705475" cy="2209800"/>
                    </a:xfrm>
                    <a:prstGeom prst="rect">
                      <a:avLst/>
                    </a:prstGeom>
                    <a:noFill/>
                    <a:ln w="9525">
                      <a:noFill/>
                      <a:miter lim="800000"/>
                      <a:headEnd/>
                      <a:tailEnd/>
                    </a:ln>
                  </pic:spPr>
                </pic:pic>
              </a:graphicData>
            </a:graphic>
          </wp:inline>
        </w:drawing>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 xml:space="preserve">In order to maintain the integrity of a whole blood sample, the collection, processing and storage of blood components must take into consideration their future intended use following storage. This </w:t>
      </w:r>
      <w:r w:rsidRPr="004A0119">
        <w:rPr>
          <w:rFonts w:ascii="Arial" w:eastAsia="Times New Roman" w:hAnsi="Arial" w:cs="Arial"/>
          <w:noProof/>
          <w:color w:val="333333"/>
          <w:sz w:val="21"/>
          <w:szCs w:val="21"/>
        </w:rPr>
        <w:lastRenderedPageBreak/>
        <w:t>dictates initial blood collection strategies,</w:t>
      </w:r>
      <w:r w:rsidRPr="004A0119">
        <w:rPr>
          <w:rFonts w:ascii="Arial" w:eastAsia="Times New Roman" w:hAnsi="Arial" w:cs="Arial"/>
          <w:noProof/>
          <w:color w:val="333333"/>
          <w:sz w:val="21"/>
        </w:rPr>
        <w:t> </w:t>
      </w:r>
      <w:hyperlink r:id="rId9" w:tgtFrame="_blank" w:history="1">
        <w:r w:rsidRPr="004A0119">
          <w:rPr>
            <w:rFonts w:ascii="Arial" w:eastAsia="Times New Roman" w:hAnsi="Arial" w:cs="Arial"/>
            <w:noProof/>
            <w:color w:val="5381AC"/>
            <w:sz w:val="21"/>
          </w:rPr>
          <w:t>optimal shipping temperatures</w:t>
        </w:r>
      </w:hyperlink>
      <w:r w:rsidRPr="004A0119">
        <w:rPr>
          <w:rFonts w:ascii="Arial" w:eastAsia="Times New Roman" w:hAnsi="Arial" w:cs="Arial"/>
          <w:noProof/>
          <w:color w:val="333333"/>
          <w:sz w:val="21"/>
          <w:szCs w:val="21"/>
        </w:rPr>
        <w:t>, inclusion of additives at time of collection to inhibit degradation of targeted assay components (</w:t>
      </w:r>
      <w:hyperlink r:id="rId10" w:tgtFrame="_blank" w:history="1">
        <w:r w:rsidRPr="004A0119">
          <w:rPr>
            <w:rFonts w:ascii="Arial" w:eastAsia="Times New Roman" w:hAnsi="Arial" w:cs="Arial"/>
            <w:noProof/>
            <w:color w:val="5381AC"/>
            <w:sz w:val="21"/>
          </w:rPr>
          <w:t>DNA, RNA,</w:t>
        </w:r>
      </w:hyperlink>
      <w:r w:rsidRPr="004A0119">
        <w:rPr>
          <w:rFonts w:ascii="Arial" w:eastAsia="Times New Roman" w:hAnsi="Arial" w:cs="Arial"/>
          <w:noProof/>
          <w:color w:val="333333"/>
          <w:sz w:val="21"/>
        </w:rPr>
        <w:t> </w:t>
      </w:r>
      <w:r w:rsidRPr="004A0119">
        <w:rPr>
          <w:rFonts w:ascii="Arial" w:eastAsia="Times New Roman" w:hAnsi="Arial" w:cs="Arial"/>
          <w:noProof/>
          <w:color w:val="333333"/>
          <w:sz w:val="21"/>
          <w:szCs w:val="21"/>
        </w:rPr>
        <w:t>PCR- friendly additives). If guidelines for proper collection, handling and storage are not followed, the integrity of the sample and its use in future analysis will be compromised. Consideration should also be given to the volume of a blood sample that will be needed in targeted assays –this determines the optimal aliquot volume per storage unit.</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According to an article published in </w:t>
      </w:r>
      <w:hyperlink r:id="rId11" w:tgtFrame="_blank" w:history="1">
        <w:r w:rsidRPr="004A0119">
          <w:rPr>
            <w:rFonts w:ascii="Arial" w:eastAsia="Times New Roman" w:hAnsi="Arial" w:cs="Arial"/>
            <w:noProof/>
            <w:color w:val="5381AC"/>
            <w:sz w:val="21"/>
          </w:rPr>
          <w:t>Transfusion Alternatives in Transfusion Medicine</w:t>
        </w:r>
      </w:hyperlink>
      <w:r w:rsidRPr="004A0119">
        <w:rPr>
          <w:rFonts w:ascii="Arial" w:eastAsia="Times New Roman" w:hAnsi="Arial" w:cs="Arial"/>
          <w:noProof/>
          <w:color w:val="333333"/>
          <w:sz w:val="21"/>
          <w:szCs w:val="21"/>
        </w:rPr>
        <w:t>, whole blood samples should be collected, processed and stored in accordance with the following guidelines.</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b/>
          <w:bCs/>
          <w:noProof/>
          <w:color w:val="333333"/>
          <w:sz w:val="21"/>
        </w:rPr>
        <w:t>Collection</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The desired volume of collected blood samples depends on many factors including the length of a study and the intended uses for these samples, but can range from multiple collections of a little as 1 mL to 450 mL. Samples must be treated with an anticoagulant in order to prevent clotting if the intention is to harvest plasma and blood cells. If desired, stabilizers can be included in the collection device or added to the sample after collection in order to prevent the breakdown of analytes. When serum is desired, blood is normally collected in the absence of anticoagulants.</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Some companies are now developing new types of tubes for use in whole blood collection that are designed to stabilize blood and preserve the quality of blood components for longer periods of time. However, these specialized tubes are not always necessary. To determine the best type of collection tube for your study, simply consider your intended analyses. For example, if your study includes the analysis of unstable components, such as</w:t>
      </w:r>
      <w:r w:rsidRPr="004A0119">
        <w:rPr>
          <w:rFonts w:ascii="Arial" w:eastAsia="Times New Roman" w:hAnsi="Arial" w:cs="Arial"/>
          <w:noProof/>
          <w:color w:val="333333"/>
          <w:sz w:val="21"/>
        </w:rPr>
        <w:t> </w:t>
      </w:r>
      <w:hyperlink r:id="rId12" w:tgtFrame="_blank" w:history="1">
        <w:r w:rsidRPr="004A0119">
          <w:rPr>
            <w:rFonts w:ascii="Arial" w:eastAsia="Times New Roman" w:hAnsi="Arial" w:cs="Arial"/>
            <w:noProof/>
            <w:color w:val="5381AC"/>
            <w:sz w:val="21"/>
          </w:rPr>
          <w:t>RNA</w:t>
        </w:r>
      </w:hyperlink>
      <w:r w:rsidRPr="004A0119">
        <w:rPr>
          <w:rFonts w:ascii="Arial" w:eastAsia="Times New Roman" w:hAnsi="Arial" w:cs="Arial"/>
          <w:noProof/>
          <w:color w:val="333333"/>
          <w:sz w:val="21"/>
          <w:szCs w:val="21"/>
        </w:rPr>
        <w:t>, specialized tubes designed to preserve RNA will be required.</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b/>
          <w:bCs/>
          <w:noProof/>
          <w:color w:val="333333"/>
          <w:sz w:val="21"/>
        </w:rPr>
        <w:t>Processing</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The proper procedure for processing whole blood is heavily dependent upon its intended usage. For example, if intended analyses require platelets, blood must be processed on the day it is collected or after overnight storage. However, if only red cells will be utilized in analyses, whole blood can be stored for up to 72 hours before processing. Finally, if you want to preserve the quality of the plasma, blood must be processed on the day of collection or after no more than 24 hours of storage.</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Blood components are typically isolated through centrifugation. After the desired blood components have been isolated, they can be placed into cryovials and stored in liquid nitrogen or mechanical freezers.</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b/>
          <w:bCs/>
          <w:noProof/>
          <w:color w:val="333333"/>
          <w:sz w:val="21"/>
        </w:rPr>
        <w:t>Storage</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According to the </w:t>
      </w:r>
      <w:hyperlink r:id="rId13" w:tgtFrame="_blank" w:history="1">
        <w:r w:rsidRPr="004A0119">
          <w:rPr>
            <w:rFonts w:ascii="Arial" w:eastAsia="Times New Roman" w:hAnsi="Arial" w:cs="Arial"/>
            <w:noProof/>
            <w:color w:val="5381AC"/>
            <w:sz w:val="21"/>
          </w:rPr>
          <w:t>University of California, Los Angeles</w:t>
        </w:r>
      </w:hyperlink>
      <w:r w:rsidRPr="004A0119">
        <w:rPr>
          <w:rFonts w:ascii="Arial" w:eastAsia="Times New Roman" w:hAnsi="Arial" w:cs="Arial"/>
          <w:noProof/>
          <w:color w:val="333333"/>
          <w:sz w:val="21"/>
          <w:szCs w:val="21"/>
        </w:rPr>
        <w:t>, blood components should be stored as follows:</w:t>
      </w:r>
    </w:p>
    <w:p w:rsidR="004A0119" w:rsidRPr="004A0119" w:rsidRDefault="004A0119" w:rsidP="004A0119">
      <w:pPr>
        <w:numPr>
          <w:ilvl w:val="1"/>
          <w:numId w:val="1"/>
        </w:numPr>
        <w:shd w:val="clear" w:color="auto" w:fill="FFFFFF"/>
        <w:spacing w:before="100" w:beforeAutospacing="1" w:after="100" w:afterAutospacing="1" w:line="360" w:lineRule="atLeast"/>
        <w:ind w:left="750"/>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Red blood cells can be stored for up to 42 days at 1°C - 6°C, depending on the additive. When kept at -65°C or below, red blood cells can be stored for up to 10 years.</w:t>
      </w:r>
    </w:p>
    <w:p w:rsidR="004A0119" w:rsidRPr="004A0119" w:rsidRDefault="004A0119" w:rsidP="004A0119">
      <w:pPr>
        <w:numPr>
          <w:ilvl w:val="1"/>
          <w:numId w:val="1"/>
        </w:numPr>
        <w:shd w:val="clear" w:color="auto" w:fill="FFFFFF"/>
        <w:spacing w:before="100" w:beforeAutospacing="1" w:after="100" w:afterAutospacing="1" w:line="360" w:lineRule="atLeast"/>
        <w:ind w:left="750"/>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Platelets can be stored at 20°C - 24°C for up to 5 days with constant agitation.</w:t>
      </w:r>
    </w:p>
    <w:p w:rsidR="004A0119" w:rsidRPr="004A0119" w:rsidRDefault="004A0119" w:rsidP="004A0119">
      <w:pPr>
        <w:numPr>
          <w:ilvl w:val="1"/>
          <w:numId w:val="1"/>
        </w:numPr>
        <w:shd w:val="clear" w:color="auto" w:fill="FFFFFF"/>
        <w:spacing w:before="100" w:beforeAutospacing="1" w:after="100" w:afterAutospacing="1" w:line="360" w:lineRule="atLeast"/>
        <w:ind w:left="750"/>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lastRenderedPageBreak/>
        <w:t>Plasma that is frozen at temperatures of -18°C or below within 8 hours of collection, platelets can be stored for up to 1 year.</w:t>
      </w:r>
    </w:p>
    <w:p w:rsidR="004A0119" w:rsidRPr="004A0119" w:rsidRDefault="004A0119" w:rsidP="004A0119">
      <w:pPr>
        <w:shd w:val="clear" w:color="auto" w:fill="FFFFFF"/>
        <w:spacing w:after="188" w:line="300" w:lineRule="atLeast"/>
        <w:rPr>
          <w:rFonts w:ascii="Arial" w:eastAsia="Times New Roman" w:hAnsi="Arial" w:cs="Arial"/>
          <w:noProof/>
          <w:color w:val="333333"/>
          <w:sz w:val="21"/>
          <w:szCs w:val="21"/>
        </w:rPr>
      </w:pPr>
      <w:r w:rsidRPr="004A0119">
        <w:rPr>
          <w:rFonts w:ascii="Arial" w:eastAsia="Times New Roman" w:hAnsi="Arial" w:cs="Arial"/>
          <w:noProof/>
          <w:color w:val="333333"/>
          <w:sz w:val="21"/>
          <w:szCs w:val="21"/>
        </w:rPr>
        <w:t>However, for</w:t>
      </w:r>
      <w:r w:rsidRPr="004A0119">
        <w:rPr>
          <w:rFonts w:ascii="Arial" w:eastAsia="Times New Roman" w:hAnsi="Arial" w:cs="Arial"/>
          <w:noProof/>
          <w:color w:val="333333"/>
          <w:sz w:val="21"/>
        </w:rPr>
        <w:t> </w:t>
      </w:r>
      <w:hyperlink r:id="rId14" w:tgtFrame="_blank" w:history="1">
        <w:r w:rsidRPr="004A0119">
          <w:rPr>
            <w:rFonts w:ascii="Arial" w:eastAsia="Times New Roman" w:hAnsi="Arial" w:cs="Arial"/>
            <w:noProof/>
            <w:color w:val="5381AC"/>
            <w:sz w:val="21"/>
          </w:rPr>
          <w:t>long term storage</w:t>
        </w:r>
      </w:hyperlink>
      <w:r w:rsidRPr="004A0119">
        <w:rPr>
          <w:rFonts w:ascii="Arial" w:eastAsia="Times New Roman" w:hAnsi="Arial" w:cs="Arial"/>
          <w:noProof/>
          <w:color w:val="333333"/>
          <w:sz w:val="21"/>
        </w:rPr>
        <w:t> </w:t>
      </w:r>
      <w:r w:rsidRPr="004A0119">
        <w:rPr>
          <w:rFonts w:ascii="Arial" w:eastAsia="Times New Roman" w:hAnsi="Arial" w:cs="Arial"/>
          <w:noProof/>
          <w:color w:val="333333"/>
          <w:sz w:val="21"/>
          <w:szCs w:val="21"/>
        </w:rPr>
        <w:t>there are different </w:t>
      </w:r>
      <w:hyperlink r:id="rId15" w:tgtFrame="_blank" w:history="1">
        <w:r w:rsidRPr="004A0119">
          <w:rPr>
            <w:rFonts w:ascii="Arial" w:eastAsia="Times New Roman" w:hAnsi="Arial" w:cs="Arial"/>
            <w:noProof/>
            <w:color w:val="5381AC"/>
            <w:sz w:val="21"/>
          </w:rPr>
          <w:t>best practices</w:t>
        </w:r>
      </w:hyperlink>
      <w:r w:rsidRPr="004A0119">
        <w:rPr>
          <w:rFonts w:ascii="Arial" w:eastAsia="Times New Roman" w:hAnsi="Arial" w:cs="Arial"/>
          <w:noProof/>
          <w:color w:val="333333"/>
          <w:sz w:val="21"/>
          <w:szCs w:val="21"/>
        </w:rPr>
        <w:t> that should be closely followed. A spot of whole blood can be stored on commercially available filter paper at ambient temperatures, but only for a limited number of years and humidity must controlled. When storing </w:t>
      </w:r>
      <w:hyperlink r:id="rId16" w:tgtFrame="_blank" w:history="1">
        <w:r w:rsidRPr="004A0119">
          <w:rPr>
            <w:rFonts w:ascii="Arial" w:eastAsia="Times New Roman" w:hAnsi="Arial" w:cs="Arial"/>
            <w:noProof/>
            <w:color w:val="5381AC"/>
            <w:sz w:val="21"/>
          </w:rPr>
          <w:t>plasma and serum</w:t>
        </w:r>
      </w:hyperlink>
      <w:r w:rsidRPr="004A0119">
        <w:rPr>
          <w:rFonts w:ascii="Arial" w:eastAsia="Times New Roman" w:hAnsi="Arial" w:cs="Arial"/>
          <w:noProof/>
          <w:color w:val="333333"/>
          <w:sz w:val="21"/>
          <w:szCs w:val="21"/>
        </w:rPr>
        <w:t> for an extended period of time, the recommended temperature is -80°C or below and all cellular components at -150°C or below.</w:t>
      </w:r>
    </w:p>
    <w:p w:rsidR="004A0119" w:rsidRPr="004A0119" w:rsidRDefault="004A0119" w:rsidP="004A0119">
      <w:pPr>
        <w:shd w:val="clear" w:color="auto" w:fill="FFFFFF"/>
        <w:spacing w:after="0" w:line="240" w:lineRule="auto"/>
        <w:outlineLvl w:val="1"/>
        <w:rPr>
          <w:rFonts w:ascii="Arial" w:eastAsia="Times New Roman" w:hAnsi="Arial" w:cs="Arial"/>
          <w:noProof/>
          <w:color w:val="333333"/>
          <w:sz w:val="36"/>
          <w:szCs w:val="36"/>
        </w:rPr>
      </w:pPr>
    </w:p>
    <w:p w:rsidR="005846D8" w:rsidRPr="004A0119" w:rsidRDefault="005846D8">
      <w:pPr>
        <w:rPr>
          <w:noProof/>
        </w:rPr>
      </w:pPr>
      <w:permStart w:id="0" w:edGrp="everyone"/>
      <w:permEnd w:id="0"/>
    </w:p>
    <w:sectPr w:rsidR="005846D8" w:rsidRPr="004A0119" w:rsidSect="00B474F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84D"/>
    <w:multiLevelType w:val="multilevel"/>
    <w:tmpl w:val="5FCEB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Bf28CSKLgHSLBStHrs8JzVl4S4=" w:salt="G3GGqfJJbSWn4SpBxqeilw=="/>
  <w:defaultTabStop w:val="720"/>
  <w:characterSpacingControl w:val="doNotCompress"/>
  <w:compat>
    <w:useFELayout/>
  </w:compat>
  <w:rsids>
    <w:rsidRoot w:val="004A0119"/>
    <w:rsid w:val="004A0119"/>
    <w:rsid w:val="005846D8"/>
    <w:rsid w:val="00B474F1"/>
    <w:rsid w:val="00EF7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F1"/>
  </w:style>
  <w:style w:type="paragraph" w:styleId="Heading2">
    <w:name w:val="heading 2"/>
    <w:basedOn w:val="Normal"/>
    <w:link w:val="Heading2Char"/>
    <w:uiPriority w:val="9"/>
    <w:qFormat/>
    <w:rsid w:val="004A01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0119"/>
    <w:rPr>
      <w:rFonts w:ascii="Times New Roman" w:eastAsia="Times New Roman" w:hAnsi="Times New Roman" w:cs="Times New Roman"/>
      <w:b/>
      <w:bCs/>
      <w:sz w:val="36"/>
      <w:szCs w:val="36"/>
    </w:rPr>
  </w:style>
  <w:style w:type="character" w:customStyle="1" w:styleId="hscoswrapper">
    <w:name w:val="hs_cos_wrapper"/>
    <w:basedOn w:val="DefaultParagraphFont"/>
    <w:rsid w:val="004A0119"/>
  </w:style>
  <w:style w:type="character" w:customStyle="1" w:styleId="hs-author-label">
    <w:name w:val="hs-author-label"/>
    <w:basedOn w:val="DefaultParagraphFont"/>
    <w:rsid w:val="004A0119"/>
  </w:style>
  <w:style w:type="character" w:customStyle="1" w:styleId="apple-converted-space">
    <w:name w:val="apple-converted-space"/>
    <w:basedOn w:val="DefaultParagraphFont"/>
    <w:rsid w:val="004A0119"/>
  </w:style>
  <w:style w:type="character" w:styleId="Hyperlink">
    <w:name w:val="Hyperlink"/>
    <w:basedOn w:val="DefaultParagraphFont"/>
    <w:uiPriority w:val="99"/>
    <w:semiHidden/>
    <w:unhideWhenUsed/>
    <w:rsid w:val="004A0119"/>
    <w:rPr>
      <w:color w:val="0000FF"/>
      <w:u w:val="single"/>
    </w:rPr>
  </w:style>
  <w:style w:type="paragraph" w:styleId="NormalWeb">
    <w:name w:val="Normal (Web)"/>
    <w:basedOn w:val="Normal"/>
    <w:uiPriority w:val="99"/>
    <w:semiHidden/>
    <w:unhideWhenUsed/>
    <w:rsid w:val="004A01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0119"/>
    <w:rPr>
      <w:b/>
      <w:bCs/>
    </w:rPr>
  </w:style>
  <w:style w:type="paragraph" w:styleId="BalloonText">
    <w:name w:val="Balloon Text"/>
    <w:basedOn w:val="Normal"/>
    <w:link w:val="BalloonTextChar"/>
    <w:uiPriority w:val="99"/>
    <w:semiHidden/>
    <w:unhideWhenUsed/>
    <w:rsid w:val="004A0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661267">
      <w:bodyDiv w:val="1"/>
      <w:marLeft w:val="0"/>
      <w:marRight w:val="0"/>
      <w:marTop w:val="0"/>
      <w:marBottom w:val="0"/>
      <w:divBdr>
        <w:top w:val="none" w:sz="0" w:space="0" w:color="auto"/>
        <w:left w:val="none" w:sz="0" w:space="0" w:color="auto"/>
        <w:bottom w:val="none" w:sz="0" w:space="0" w:color="auto"/>
        <w:right w:val="none" w:sz="0" w:space="0" w:color="auto"/>
      </w:divBdr>
    </w:div>
    <w:div w:id="13206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athology.ucla.edu/workfiles/Education/Transfusion%20Medicine/2-6-ComponentPrep.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log.fisherbioservices.com/amazing-samples-micror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ebp.aacrjournals.org/content/15/9/1582.full" TargetMode="External"/><Relationship Id="rId1" Type="http://schemas.openxmlformats.org/officeDocument/2006/relationships/numbering" Target="numbering.xml"/><Relationship Id="rId6" Type="http://schemas.openxmlformats.org/officeDocument/2006/relationships/hyperlink" Target="http://blog.fisherbioservices.com/author/abdul-ally" TargetMode="External"/><Relationship Id="rId11" Type="http://schemas.openxmlformats.org/officeDocument/2006/relationships/hyperlink" Target="http://www.medscape.com/viewarticle/583145_3" TargetMode="External"/><Relationship Id="rId5" Type="http://schemas.openxmlformats.org/officeDocument/2006/relationships/hyperlink" Target="http://blog.fisherbioservices.com/whole-blood-basics-how-to-maintain-a-stable-sample" TargetMode="External"/><Relationship Id="rId15" Type="http://schemas.openxmlformats.org/officeDocument/2006/relationships/hyperlink" Target="http://blog.fisherbioservices.com/bid/359692/Biobank-Storage-Temperatures-An-Illustrative-Guide" TargetMode="External"/><Relationship Id="rId10" Type="http://schemas.openxmlformats.org/officeDocument/2006/relationships/hyperlink" Target="http://blog.fisherbioservices.com/extracting-dna-and-rna-from-ffpe-tissue-blocks" TargetMode="External"/><Relationship Id="rId4" Type="http://schemas.openxmlformats.org/officeDocument/2006/relationships/webSettings" Target="webSettings.xml"/><Relationship Id="rId9" Type="http://schemas.openxmlformats.org/officeDocument/2006/relationships/hyperlink" Target="http://blog.fisherbioservices.com/top-10-concerns-and-considerations-in-cold-chain-logistics" TargetMode="External"/><Relationship Id="rId14" Type="http://schemas.openxmlformats.org/officeDocument/2006/relationships/hyperlink" Target="http://blog.fisherbioservices.com/long-term-biobanking-how-long-can-you-hold-s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4539</Characters>
  <Application>Microsoft Office Word</Application>
  <DocSecurity>8</DocSecurity>
  <Lines>37</Lines>
  <Paragraphs>10</Paragraphs>
  <ScaleCrop>false</ScaleCrop>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2015-05-08T21:44:00Z</dcterms:created>
  <dcterms:modified xsi:type="dcterms:W3CDTF">2015-06-07T11:36:00Z</dcterms:modified>
</cp:coreProperties>
</file>